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22" w:rsidRPr="006A1F22" w:rsidRDefault="00A23C03" w:rsidP="006A1F22">
      <w:pPr>
        <w:ind w:left="20"/>
        <w:jc w:val="center"/>
        <w:rPr>
          <w:rFonts w:ascii="Times New Roman" w:hAnsi="Times New Roman" w:cs="Times New Roman"/>
        </w:rPr>
      </w:pPr>
      <w:r w:rsidRPr="006A1F22">
        <w:rPr>
          <w:rFonts w:ascii="Times New Roman" w:hAnsi="Times New Roman" w:cs="Times New Roman"/>
        </w:rPr>
        <w:t>Программа профилактики нарушений об</w:t>
      </w:r>
      <w:r w:rsidR="00780A2E">
        <w:rPr>
          <w:rFonts w:ascii="Times New Roman" w:hAnsi="Times New Roman" w:cs="Times New Roman"/>
        </w:rPr>
        <w:t xml:space="preserve">язательных требований </w:t>
      </w:r>
      <w:r w:rsidR="007F6F48">
        <w:rPr>
          <w:rFonts w:ascii="Times New Roman" w:hAnsi="Times New Roman" w:cs="Times New Roman"/>
        </w:rPr>
        <w:t>жилищного</w:t>
      </w:r>
      <w:r w:rsidRPr="006A1F22">
        <w:rPr>
          <w:rFonts w:ascii="Times New Roman" w:hAnsi="Times New Roman" w:cs="Times New Roman"/>
        </w:rPr>
        <w:br/>
        <w:t xml:space="preserve">законодательства в городском поселении город Серафимович Волгоградской области </w:t>
      </w:r>
      <w:r w:rsidR="00586A7E">
        <w:rPr>
          <w:rFonts w:ascii="Times New Roman" w:hAnsi="Times New Roman" w:cs="Times New Roman"/>
        </w:rPr>
        <w:t>на 2021</w:t>
      </w:r>
      <w:r w:rsidR="006A1F22" w:rsidRPr="006A1F22">
        <w:rPr>
          <w:rFonts w:ascii="Times New Roman" w:hAnsi="Times New Roman" w:cs="Times New Roman"/>
        </w:rPr>
        <w:t xml:space="preserve"> год</w:t>
      </w:r>
      <w:r w:rsidR="006A1F22" w:rsidRPr="006A1F2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и плановый период 202</w:t>
      </w:r>
      <w:r w:rsidR="00586A7E">
        <w:rPr>
          <w:rFonts w:ascii="Times New Roman" w:eastAsia="Calibri" w:hAnsi="Times New Roman" w:cs="Times New Roman"/>
          <w:bCs/>
          <w:color w:val="auto"/>
          <w:lang w:eastAsia="en-US" w:bidi="ar-SA"/>
        </w:rPr>
        <w:t>2 г.</w:t>
      </w:r>
    </w:p>
    <w:p w:rsidR="006A1F22" w:rsidRPr="006A1F22" w:rsidRDefault="006A1F22" w:rsidP="006A1F22">
      <w:pPr>
        <w:spacing w:line="280" w:lineRule="exact"/>
        <w:ind w:right="360"/>
        <w:rPr>
          <w:rFonts w:ascii="Times New Roman" w:hAnsi="Times New Roman" w:cs="Times New Roman"/>
        </w:rPr>
      </w:pPr>
    </w:p>
    <w:p w:rsidR="00A23C03" w:rsidRPr="00F60D43" w:rsidRDefault="00A23C03" w:rsidP="006A1F22">
      <w:pPr>
        <w:ind w:left="20"/>
        <w:jc w:val="center"/>
        <w:rPr>
          <w:rFonts w:ascii="Times New Roman" w:hAnsi="Times New Roman" w:cs="Times New Roman"/>
        </w:rPr>
      </w:pPr>
    </w:p>
    <w:p w:rsidR="00A23C03" w:rsidRPr="00F60D43" w:rsidRDefault="00A23C03" w:rsidP="00A23C03">
      <w:pPr>
        <w:numPr>
          <w:ilvl w:val="0"/>
          <w:numId w:val="1"/>
        </w:numPr>
        <w:spacing w:line="280" w:lineRule="exact"/>
        <w:ind w:right="360"/>
        <w:jc w:val="center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Общие положения</w:t>
      </w:r>
    </w:p>
    <w:p w:rsidR="00A23C03" w:rsidRPr="00F60D43" w:rsidRDefault="00A23C03" w:rsidP="00A23C03">
      <w:pPr>
        <w:spacing w:line="280" w:lineRule="exact"/>
        <w:ind w:left="720" w:right="360"/>
        <w:rPr>
          <w:rFonts w:ascii="Times New Roman" w:hAnsi="Times New Roman" w:cs="Times New Roman"/>
        </w:rPr>
      </w:pPr>
    </w:p>
    <w:p w:rsidR="00A23C03" w:rsidRPr="00F60D43" w:rsidRDefault="00A23C03" w:rsidP="00A23C03">
      <w:pPr>
        <w:numPr>
          <w:ilvl w:val="0"/>
          <w:numId w:val="2"/>
        </w:numPr>
        <w:tabs>
          <w:tab w:val="left" w:pos="1106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proofErr w:type="gramStart"/>
      <w:r w:rsidRPr="00F60D43">
        <w:rPr>
          <w:rFonts w:ascii="Times New Roman" w:hAnsi="Times New Roman" w:cs="Times New Roman"/>
        </w:rPr>
        <w:t xml:space="preserve">Настоящая программа направлена на проведение администрацией </w:t>
      </w:r>
      <w:r>
        <w:rPr>
          <w:rFonts w:ascii="Times New Roman" w:hAnsi="Times New Roman" w:cs="Times New Roman"/>
        </w:rPr>
        <w:t>городского поселения город Серафимович</w:t>
      </w:r>
      <w:r w:rsidRPr="00F60D43">
        <w:rPr>
          <w:rFonts w:ascii="Times New Roman" w:hAnsi="Times New Roman" w:cs="Times New Roman"/>
        </w:rPr>
        <w:t xml:space="preserve"> Волгоградской области профилактики</w:t>
      </w:r>
      <w:r w:rsidR="00586A7E">
        <w:rPr>
          <w:rFonts w:ascii="Times New Roman" w:hAnsi="Times New Roman" w:cs="Times New Roman"/>
        </w:rPr>
        <w:t xml:space="preserve"> нарушений требований жилищного</w:t>
      </w:r>
      <w:r w:rsidRPr="00F60D43">
        <w:rPr>
          <w:rFonts w:ascii="Times New Roman" w:hAnsi="Times New Roman" w:cs="Times New Roman"/>
        </w:rPr>
        <w:t xml:space="preserve"> законодательства, установленных законодательством Российской Федерации, законодательством Волгоградской области, муниципальными правовыми актами </w:t>
      </w:r>
      <w:r>
        <w:rPr>
          <w:rFonts w:ascii="Times New Roman" w:hAnsi="Times New Roman" w:cs="Times New Roman"/>
        </w:rPr>
        <w:t>городского поселения город Серафимович</w:t>
      </w:r>
      <w:r w:rsidRPr="00F60D43">
        <w:rPr>
          <w:rFonts w:ascii="Times New Roman" w:hAnsi="Times New Roman" w:cs="Times New Roman"/>
        </w:rPr>
        <w:t xml:space="preserve"> Волгоградской области,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</w:t>
      </w:r>
      <w:r w:rsidR="00586A7E">
        <w:rPr>
          <w:rFonts w:ascii="Times New Roman" w:hAnsi="Times New Roman" w:cs="Times New Roman"/>
        </w:rPr>
        <w:t>язательных требований</w:t>
      </w:r>
      <w:proofErr w:type="gramEnd"/>
      <w:r w:rsidR="00586A7E">
        <w:rPr>
          <w:rFonts w:ascii="Times New Roman" w:hAnsi="Times New Roman" w:cs="Times New Roman"/>
        </w:rPr>
        <w:t xml:space="preserve"> жилищного</w:t>
      </w:r>
      <w:r w:rsidRPr="00F60D43">
        <w:rPr>
          <w:rFonts w:ascii="Times New Roman" w:hAnsi="Times New Roman" w:cs="Times New Roman"/>
        </w:rPr>
        <w:t xml:space="preserve"> законодательства и снижения рисков причинения ущерба охраняемым законом ценностям.</w:t>
      </w:r>
    </w:p>
    <w:p w:rsidR="00A23C03" w:rsidRPr="00F60D43" w:rsidRDefault="00A23C03" w:rsidP="00A23C03">
      <w:pPr>
        <w:numPr>
          <w:ilvl w:val="0"/>
          <w:numId w:val="2"/>
        </w:numPr>
        <w:tabs>
          <w:tab w:val="left" w:pos="1106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Профилактика нарушений об</w:t>
      </w:r>
      <w:r w:rsidR="00586A7E">
        <w:rPr>
          <w:rFonts w:ascii="Times New Roman" w:hAnsi="Times New Roman" w:cs="Times New Roman"/>
        </w:rPr>
        <w:t>язательных требований жилищного</w:t>
      </w:r>
      <w:r w:rsidRPr="00F60D43">
        <w:rPr>
          <w:rFonts w:ascii="Times New Roman" w:hAnsi="Times New Roman" w:cs="Times New Roman"/>
        </w:rPr>
        <w:t xml:space="preserve"> законодательства проводится в рамках осущест</w:t>
      </w:r>
      <w:r w:rsidR="00586A7E">
        <w:rPr>
          <w:rFonts w:ascii="Times New Roman" w:hAnsi="Times New Roman" w:cs="Times New Roman"/>
        </w:rPr>
        <w:t>вления муниципального жилищного</w:t>
      </w:r>
      <w:r w:rsidRPr="00F60D43">
        <w:rPr>
          <w:rFonts w:ascii="Times New Roman" w:hAnsi="Times New Roman" w:cs="Times New Roman"/>
        </w:rPr>
        <w:t xml:space="preserve"> контроля.</w:t>
      </w:r>
    </w:p>
    <w:p w:rsidR="00A23C03" w:rsidRPr="00F60D43" w:rsidRDefault="00A23C03" w:rsidP="00A23C03">
      <w:pPr>
        <w:numPr>
          <w:ilvl w:val="0"/>
          <w:numId w:val="2"/>
        </w:numPr>
        <w:tabs>
          <w:tab w:val="left" w:pos="972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Целью программы является:</w:t>
      </w:r>
    </w:p>
    <w:p w:rsidR="00A23C03" w:rsidRPr="00F60D43" w:rsidRDefault="00A23C03" w:rsidP="00A23C03">
      <w:pPr>
        <w:numPr>
          <w:ilvl w:val="0"/>
          <w:numId w:val="3"/>
        </w:numPr>
        <w:tabs>
          <w:tab w:val="left" w:pos="839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 xml:space="preserve">предупреждение </w:t>
      </w:r>
      <w:proofErr w:type="gramStart"/>
      <w:r w:rsidRPr="00F60D43">
        <w:rPr>
          <w:rFonts w:ascii="Times New Roman" w:hAnsi="Times New Roman" w:cs="Times New Roman"/>
        </w:rPr>
        <w:t>нарушений</w:t>
      </w:r>
      <w:proofErr w:type="gramEnd"/>
      <w:r w:rsidRPr="00F60D43">
        <w:rPr>
          <w:rFonts w:ascii="Times New Roman" w:hAnsi="Times New Roman" w:cs="Times New Roman"/>
        </w:rPr>
        <w:t xml:space="preserve"> подконтрольными </w:t>
      </w:r>
      <w:r w:rsidR="00586A7E">
        <w:rPr>
          <w:rFonts w:ascii="Times New Roman" w:hAnsi="Times New Roman" w:cs="Times New Roman"/>
        </w:rPr>
        <w:t>субъектами требований жилищного</w:t>
      </w:r>
      <w:r w:rsidRPr="00F60D43">
        <w:rPr>
          <w:rFonts w:ascii="Times New Roman" w:hAnsi="Times New Roman" w:cs="Times New Roman"/>
        </w:rPr>
        <w:t xml:space="preserve">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A23C03" w:rsidRPr="00F60D43" w:rsidRDefault="00A23C03" w:rsidP="00A23C03">
      <w:pPr>
        <w:numPr>
          <w:ilvl w:val="0"/>
          <w:numId w:val="3"/>
        </w:numPr>
        <w:tabs>
          <w:tab w:val="left" w:pos="729"/>
        </w:tabs>
        <w:spacing w:line="322" w:lineRule="exact"/>
        <w:ind w:firstLine="440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создание мотивации к добросовестному поведению подконтрольных субъектов;</w:t>
      </w:r>
    </w:p>
    <w:p w:rsidR="00A23C03" w:rsidRPr="00F60D43" w:rsidRDefault="00A23C03" w:rsidP="00A23C03">
      <w:pPr>
        <w:numPr>
          <w:ilvl w:val="0"/>
          <w:numId w:val="3"/>
        </w:numPr>
        <w:tabs>
          <w:tab w:val="left" w:pos="819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снижение уровня ущерба охраняемым законом ценностям.</w:t>
      </w:r>
    </w:p>
    <w:p w:rsidR="00A23C03" w:rsidRPr="00F60D43" w:rsidRDefault="00A23C03" w:rsidP="00A23C03">
      <w:pPr>
        <w:numPr>
          <w:ilvl w:val="0"/>
          <w:numId w:val="2"/>
        </w:numPr>
        <w:tabs>
          <w:tab w:val="left" w:pos="972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Задачами программы являются:</w:t>
      </w:r>
    </w:p>
    <w:p w:rsidR="00A23C03" w:rsidRPr="00F60D43" w:rsidRDefault="00A23C03" w:rsidP="00A23C03">
      <w:pPr>
        <w:numPr>
          <w:ilvl w:val="0"/>
          <w:numId w:val="4"/>
        </w:numPr>
        <w:tabs>
          <w:tab w:val="left" w:pos="729"/>
        </w:tabs>
        <w:spacing w:line="322" w:lineRule="exact"/>
        <w:ind w:firstLine="440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23C03" w:rsidRPr="00F60D43" w:rsidRDefault="00A23C03" w:rsidP="00A23C03">
      <w:pPr>
        <w:numPr>
          <w:ilvl w:val="0"/>
          <w:numId w:val="4"/>
        </w:numPr>
        <w:tabs>
          <w:tab w:val="left" w:pos="744"/>
        </w:tabs>
        <w:spacing w:line="322" w:lineRule="exact"/>
        <w:ind w:firstLine="440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 xml:space="preserve">выявление причин, факторов и условий, способствующих </w:t>
      </w:r>
      <w:r w:rsidR="00586A7E">
        <w:rPr>
          <w:rFonts w:ascii="Times New Roman" w:hAnsi="Times New Roman" w:cs="Times New Roman"/>
        </w:rPr>
        <w:t>нарушениям требований жилищного</w:t>
      </w:r>
      <w:r w:rsidRPr="00F60D43">
        <w:rPr>
          <w:rFonts w:ascii="Times New Roman" w:hAnsi="Times New Roman" w:cs="Times New Roman"/>
        </w:rPr>
        <w:t xml:space="preserve"> законодательства;</w:t>
      </w:r>
    </w:p>
    <w:p w:rsidR="00A23C03" w:rsidRPr="00F60D43" w:rsidRDefault="00A23C03" w:rsidP="00A23C03">
      <w:pPr>
        <w:numPr>
          <w:ilvl w:val="0"/>
          <w:numId w:val="4"/>
        </w:numPr>
        <w:tabs>
          <w:tab w:val="left" w:pos="819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повышение правосознания и правовой культуры подконтрольных субъектов.</w:t>
      </w:r>
    </w:p>
    <w:p w:rsidR="00A23C03" w:rsidRPr="00F60D43" w:rsidRDefault="00A23C03" w:rsidP="00A23C03">
      <w:pPr>
        <w:numPr>
          <w:ilvl w:val="0"/>
          <w:numId w:val="2"/>
        </w:numPr>
        <w:tabs>
          <w:tab w:val="left" w:pos="972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Срок реализации программы 20</w:t>
      </w:r>
      <w:r>
        <w:rPr>
          <w:rFonts w:ascii="Times New Roman" w:hAnsi="Times New Roman" w:cs="Times New Roman"/>
        </w:rPr>
        <w:t>2</w:t>
      </w:r>
      <w:r w:rsidR="00586A7E">
        <w:rPr>
          <w:rFonts w:ascii="Times New Roman" w:hAnsi="Times New Roman" w:cs="Times New Roman"/>
        </w:rPr>
        <w:t>1</w:t>
      </w:r>
      <w:r w:rsidRPr="00F60D43">
        <w:rPr>
          <w:rFonts w:ascii="Times New Roman" w:hAnsi="Times New Roman" w:cs="Times New Roman"/>
        </w:rPr>
        <w:t xml:space="preserve"> год</w:t>
      </w:r>
      <w:r w:rsidR="001031EC">
        <w:rPr>
          <w:rFonts w:ascii="Times New Roman" w:hAnsi="Times New Roman" w:cs="Times New Roman"/>
        </w:rPr>
        <w:t xml:space="preserve"> -2022 год</w:t>
      </w:r>
      <w:r w:rsidRPr="00F60D43">
        <w:rPr>
          <w:rFonts w:ascii="Times New Roman" w:hAnsi="Times New Roman" w:cs="Times New Roman"/>
        </w:rPr>
        <w:t>.</w:t>
      </w:r>
    </w:p>
    <w:p w:rsidR="00A23C03" w:rsidRDefault="00A23C03" w:rsidP="00A23C03">
      <w:pPr>
        <w:widowControl/>
        <w:rPr>
          <w:rFonts w:ascii="Times New Roman" w:hAnsi="Times New Roman" w:cs="Times New Roman"/>
        </w:rPr>
      </w:pPr>
    </w:p>
    <w:p w:rsidR="00D36B4F" w:rsidRDefault="00A23C03" w:rsidP="00A23C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A23C03">
        <w:rPr>
          <w:rFonts w:ascii="Times New Roman" w:hAnsi="Times New Roman" w:cs="Times New Roman"/>
        </w:rPr>
        <w:t>План график профилактических мероприятий</w:t>
      </w:r>
    </w:p>
    <w:p w:rsidR="005864A1" w:rsidRDefault="005864A1" w:rsidP="004600B7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769"/>
        <w:gridCol w:w="3538"/>
        <w:gridCol w:w="2189"/>
        <w:gridCol w:w="2129"/>
      </w:tblGrid>
      <w:tr w:rsidR="00A23C03" w:rsidTr="00F7405C">
        <w:tc>
          <w:tcPr>
            <w:tcW w:w="769" w:type="dxa"/>
          </w:tcPr>
          <w:p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№</w:t>
            </w:r>
            <w:r w:rsidR="00586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60D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0D43">
              <w:rPr>
                <w:rFonts w:ascii="Times New Roman" w:hAnsi="Times New Roman" w:cs="Times New Roman"/>
              </w:rPr>
              <w:t>/</w:t>
            </w:r>
            <w:proofErr w:type="spellStart"/>
            <w:r w:rsidRPr="00F60D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38" w:type="dxa"/>
          </w:tcPr>
          <w:p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89" w:type="dxa"/>
          </w:tcPr>
          <w:p w:rsidR="00A23C03" w:rsidRPr="00F60D43" w:rsidRDefault="00A23C03" w:rsidP="00A23C03">
            <w:pPr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Ответственный</w:t>
            </w:r>
          </w:p>
          <w:p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9" w:type="dxa"/>
          </w:tcPr>
          <w:p w:rsidR="00A23C03" w:rsidRPr="00F60D43" w:rsidRDefault="00A23C03" w:rsidP="00A23C03">
            <w:pPr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Срок</w:t>
            </w:r>
          </w:p>
          <w:p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A23C03" w:rsidTr="00F7405C">
        <w:tc>
          <w:tcPr>
            <w:tcW w:w="76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8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</w:t>
            </w:r>
            <w:r w:rsidR="00586A7E">
              <w:rPr>
                <w:rFonts w:ascii="Times New Roman" w:hAnsi="Times New Roman" w:cs="Times New Roman"/>
              </w:rPr>
              <w:t xml:space="preserve">лении муниципального </w:t>
            </w:r>
            <w:proofErr w:type="gramStart"/>
            <w:r w:rsidR="00586A7E">
              <w:rPr>
                <w:rFonts w:ascii="Times New Roman" w:hAnsi="Times New Roman" w:cs="Times New Roman"/>
              </w:rPr>
              <w:t>-ж</w:t>
            </w:r>
            <w:proofErr w:type="gramEnd"/>
            <w:r w:rsidR="00586A7E">
              <w:rPr>
                <w:rFonts w:ascii="Times New Roman" w:hAnsi="Times New Roman" w:cs="Times New Roman"/>
              </w:rPr>
              <w:t>илищного</w:t>
            </w:r>
            <w:r w:rsidRPr="00F60D43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8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осущест</w:t>
            </w:r>
            <w:r w:rsidR="00586A7E">
              <w:rPr>
                <w:rFonts w:ascii="Times New Roman" w:hAnsi="Times New Roman" w:cs="Times New Roman"/>
              </w:rPr>
              <w:t>вление 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3C03" w:rsidTr="00F7405C">
        <w:tc>
          <w:tcPr>
            <w:tcW w:w="76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8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 xml:space="preserve">Поддержание в актуальном состоянии размещенных на </w:t>
            </w:r>
            <w:r w:rsidRPr="00F60D43">
              <w:rPr>
                <w:rFonts w:ascii="Times New Roman" w:hAnsi="Times New Roman" w:cs="Times New Roman"/>
              </w:rPr>
              <w:lastRenderedPageBreak/>
              <w:t xml:space="preserve">официальном сайте </w:t>
            </w:r>
            <w:r>
              <w:rPr>
                <w:rFonts w:ascii="Times New Roman" w:hAnsi="Times New Roman" w:cs="Times New Roman"/>
              </w:rPr>
              <w:t>администрации городского поселения город Серафимович</w:t>
            </w:r>
            <w:r w:rsidRPr="00F60D43">
              <w:rPr>
                <w:rFonts w:ascii="Times New Roman" w:hAnsi="Times New Roman" w:cs="Times New Roman"/>
              </w:rPr>
              <w:t xml:space="preserve"> Волгоградской области 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</w:t>
            </w:r>
            <w:r w:rsidR="00586A7E">
              <w:rPr>
                <w:rFonts w:ascii="Times New Roman" w:hAnsi="Times New Roman" w:cs="Times New Roman"/>
              </w:rPr>
              <w:t>влении муниципального жилищного</w:t>
            </w:r>
            <w:r w:rsidRPr="00F60D43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8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ответственный за </w:t>
            </w:r>
            <w:r>
              <w:rPr>
                <w:rFonts w:ascii="Times New Roman" w:hAnsi="Times New Roman" w:cs="Times New Roman"/>
              </w:rPr>
              <w:lastRenderedPageBreak/>
              <w:t>осуществление мун</w:t>
            </w:r>
            <w:r w:rsidR="00586A7E">
              <w:rPr>
                <w:rFonts w:ascii="Times New Roman" w:hAnsi="Times New Roman" w:cs="Times New Roman"/>
              </w:rPr>
              <w:t>иципального жилищного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A23C03" w:rsidTr="00F7405C">
        <w:tc>
          <w:tcPr>
            <w:tcW w:w="76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38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"Единый реестр проверок"</w:t>
            </w:r>
          </w:p>
        </w:tc>
        <w:tc>
          <w:tcPr>
            <w:tcW w:w="218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осущест</w:t>
            </w:r>
            <w:r w:rsidR="00586A7E">
              <w:rPr>
                <w:rFonts w:ascii="Times New Roman" w:hAnsi="Times New Roman" w:cs="Times New Roman"/>
              </w:rPr>
              <w:t>вление 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3C03" w:rsidTr="00F7405C">
        <w:tc>
          <w:tcPr>
            <w:tcW w:w="76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8" w:type="dxa"/>
          </w:tcPr>
          <w:p w:rsidR="00A23C03" w:rsidRPr="004600B7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600B7">
              <w:rPr>
                <w:rFonts w:ascii="Times New Roman" w:hAnsi="Times New Roman" w:cs="Times New Roman"/>
              </w:rPr>
              <w:t>Размещение на сайте администрации городского поселения город Серафимович Волгоградской области в сети Интернет информации о</w:t>
            </w:r>
            <w:r w:rsidRPr="004600B7">
              <w:rPr>
                <w:rStyle w:val="2"/>
                <w:rFonts w:eastAsia="Tahoma"/>
                <w:sz w:val="24"/>
                <w:szCs w:val="24"/>
              </w:rPr>
              <w:t xml:space="preserve"> результатах осущест</w:t>
            </w:r>
            <w:r w:rsidR="00586A7E">
              <w:rPr>
                <w:rStyle w:val="2"/>
                <w:rFonts w:eastAsia="Tahoma"/>
                <w:sz w:val="24"/>
                <w:szCs w:val="24"/>
              </w:rPr>
              <w:t>вления муниципального жилищного</w:t>
            </w:r>
            <w:r w:rsidRPr="004600B7">
              <w:rPr>
                <w:rStyle w:val="2"/>
                <w:rFonts w:eastAsia="Tahoma"/>
                <w:sz w:val="24"/>
                <w:szCs w:val="24"/>
              </w:rPr>
              <w:t xml:space="preserve"> контроля</w:t>
            </w:r>
          </w:p>
        </w:tc>
        <w:tc>
          <w:tcPr>
            <w:tcW w:w="218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осущест</w:t>
            </w:r>
            <w:r w:rsidR="00586A7E">
              <w:rPr>
                <w:rFonts w:ascii="Times New Roman" w:hAnsi="Times New Roman" w:cs="Times New Roman"/>
              </w:rPr>
              <w:t>вление 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9" w:type="dxa"/>
          </w:tcPr>
          <w:p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3C03" w:rsidTr="00F7405C">
        <w:tc>
          <w:tcPr>
            <w:tcW w:w="769" w:type="dxa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bottom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23C03">
              <w:rPr>
                <w:rStyle w:val="2"/>
                <w:rFonts w:eastAsia="Tahoma"/>
                <w:sz w:val="24"/>
                <w:szCs w:val="24"/>
              </w:rPr>
              <w:t>Обобщение и размещение на сайте администрации городского поселения город Серафимович Волгоградской области в сети Интернет практики ос</w:t>
            </w:r>
            <w:r w:rsidR="00586A7E">
              <w:rPr>
                <w:rStyle w:val="2"/>
                <w:rFonts w:eastAsia="Tahoma"/>
                <w:sz w:val="24"/>
                <w:szCs w:val="24"/>
              </w:rPr>
              <w:t>уществления муниципального жилищного</w:t>
            </w:r>
            <w:r w:rsidRPr="00A23C03">
              <w:rPr>
                <w:rStyle w:val="2"/>
                <w:rFonts w:eastAsia="Tahoma"/>
                <w:sz w:val="24"/>
                <w:szCs w:val="24"/>
              </w:rPr>
              <w:t xml:space="preserve"> контроля, с указанием наиболее часто встречающихся случаев</w:t>
            </w:r>
            <w:r w:rsidR="00586A7E">
              <w:rPr>
                <w:rStyle w:val="2"/>
                <w:rFonts w:eastAsia="Tahoma"/>
                <w:sz w:val="24"/>
                <w:szCs w:val="24"/>
              </w:rPr>
              <w:t xml:space="preserve"> нарушений требований жилищного</w:t>
            </w:r>
            <w:r w:rsidRPr="00A23C03">
              <w:rPr>
                <w:rStyle w:val="2"/>
                <w:rFonts w:eastAsia="Tahoma"/>
                <w:sz w:val="24"/>
                <w:szCs w:val="24"/>
              </w:rPr>
              <w:t xml:space="preserve">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  <w:proofErr w:type="gramEnd"/>
          </w:p>
        </w:tc>
        <w:tc>
          <w:tcPr>
            <w:tcW w:w="2189" w:type="dxa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Fonts w:ascii="Times New Roman" w:hAnsi="Times New Roman" w:cs="Times New Roman"/>
              </w:rPr>
              <w:t>Специалист ответственный за осущест</w:t>
            </w:r>
            <w:r w:rsidR="00586A7E">
              <w:rPr>
                <w:rFonts w:ascii="Times New Roman" w:hAnsi="Times New Roman" w:cs="Times New Roman"/>
              </w:rPr>
              <w:t>вление муниципального жилищного</w:t>
            </w:r>
            <w:r w:rsidRPr="00A23C03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9" w:type="dxa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По мере необходимости</w:t>
            </w:r>
          </w:p>
        </w:tc>
      </w:tr>
      <w:tr w:rsidR="00A23C03" w:rsidTr="00F7405C">
        <w:tc>
          <w:tcPr>
            <w:tcW w:w="769" w:type="dxa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Выдача предостережений о недопустимости нарушения об</w:t>
            </w:r>
            <w:r w:rsidR="00586A7E">
              <w:rPr>
                <w:rStyle w:val="2"/>
                <w:rFonts w:eastAsia="Tahoma"/>
                <w:sz w:val="24"/>
                <w:szCs w:val="24"/>
              </w:rPr>
              <w:t>язательных требований жилищного</w:t>
            </w:r>
            <w:r w:rsidRPr="00A23C03">
              <w:rPr>
                <w:rStyle w:val="2"/>
                <w:rFonts w:eastAsia="Tahoma"/>
                <w:sz w:val="24"/>
                <w:szCs w:val="24"/>
              </w:rPr>
              <w:t xml:space="preserve"> законодательства в соответствии с частями 5-7 статьи 8.2 Федерального закона </w:t>
            </w:r>
            <w:r w:rsidRPr="00A23C03">
              <w:rPr>
                <w:rStyle w:val="2"/>
                <w:rFonts w:eastAsia="Tahoma"/>
                <w:sz w:val="24"/>
                <w:szCs w:val="24"/>
              </w:rPr>
              <w:lastRenderedPageBreak/>
              <w:t xml:space="preserve">от 26 декабря 2008 года </w:t>
            </w:r>
            <w:r w:rsidRPr="00A23C03">
              <w:rPr>
                <w:rStyle w:val="2"/>
                <w:rFonts w:eastAsia="Tahoma"/>
                <w:sz w:val="24"/>
                <w:szCs w:val="24"/>
                <w:lang w:val="en-US" w:eastAsia="en-US" w:bidi="en-US"/>
              </w:rPr>
              <w:t>N</w:t>
            </w:r>
            <w:r w:rsidRPr="00A23C03">
              <w:rPr>
                <w:rStyle w:val="2"/>
                <w:rFonts w:eastAsia="Tahoma"/>
                <w:sz w:val="24"/>
                <w:szCs w:val="24"/>
                <w:lang w:eastAsia="en-US" w:bidi="en-US"/>
              </w:rPr>
              <w:t xml:space="preserve"> </w:t>
            </w:r>
            <w:r w:rsidRPr="00A23C03">
              <w:rPr>
                <w:rStyle w:val="2"/>
                <w:rFonts w:eastAsia="Tahoma"/>
                <w:sz w:val="24"/>
                <w:szCs w:val="24"/>
              </w:rPr>
              <w:t>294- 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189" w:type="dxa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Fonts w:ascii="Times New Roman" w:hAnsi="Times New Roman" w:cs="Times New Roman"/>
              </w:rPr>
              <w:lastRenderedPageBreak/>
              <w:t>Специалист ответственный за осущест</w:t>
            </w:r>
            <w:r w:rsidR="00586A7E">
              <w:rPr>
                <w:rFonts w:ascii="Times New Roman" w:hAnsi="Times New Roman" w:cs="Times New Roman"/>
              </w:rPr>
              <w:t>вление муниципального жилищного</w:t>
            </w:r>
            <w:r w:rsidRPr="00A23C03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9" w:type="dxa"/>
          </w:tcPr>
          <w:p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По мере необходимости</w:t>
            </w:r>
          </w:p>
        </w:tc>
      </w:tr>
      <w:tr w:rsidR="00F7405C" w:rsidTr="00F7405C">
        <w:tc>
          <w:tcPr>
            <w:tcW w:w="769" w:type="dxa"/>
          </w:tcPr>
          <w:p w:rsid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38" w:type="dxa"/>
          </w:tcPr>
          <w:p w:rsid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подконтрольных субъектов о результатах контрольной деятельности в ГИС «Управление»</w:t>
            </w:r>
          </w:p>
        </w:tc>
        <w:tc>
          <w:tcPr>
            <w:tcW w:w="2189" w:type="dxa"/>
            <w:vAlign w:val="bottom"/>
          </w:tcPr>
          <w:p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Fonts w:ascii="Times New Roman" w:hAnsi="Times New Roman" w:cs="Times New Roman"/>
              </w:rPr>
              <w:t>Специалист ответственный за осущест</w:t>
            </w:r>
            <w:r w:rsidR="00586A7E">
              <w:rPr>
                <w:rFonts w:ascii="Times New Roman" w:hAnsi="Times New Roman" w:cs="Times New Roman"/>
              </w:rPr>
              <w:t>вление муниципального жилищного</w:t>
            </w:r>
            <w:r w:rsidRPr="00F7405C">
              <w:rPr>
                <w:rFonts w:ascii="Times New Roman" w:hAnsi="Times New Roman" w:cs="Times New Roman"/>
              </w:rPr>
              <w:t xml:space="preserve"> контроля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>1 раз в полугодие</w:t>
            </w:r>
          </w:p>
        </w:tc>
      </w:tr>
      <w:tr w:rsidR="00F7405C" w:rsidTr="00F7405C">
        <w:tc>
          <w:tcPr>
            <w:tcW w:w="769" w:type="dxa"/>
          </w:tcPr>
          <w:p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Проведение приема муниципальными служащими, </w:t>
            </w:r>
            <w:r w:rsidR="00D85DB5">
              <w:rPr>
                <w:rStyle w:val="2"/>
                <w:rFonts w:eastAsia="Tahoma"/>
                <w:sz w:val="24"/>
                <w:szCs w:val="24"/>
              </w:rPr>
              <w:t>на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которых </w:t>
            </w:r>
            <w:r w:rsidR="00D85DB5">
              <w:rPr>
                <w:rStyle w:val="2"/>
                <w:rFonts w:eastAsia="Tahoma"/>
                <w:sz w:val="24"/>
                <w:szCs w:val="24"/>
              </w:rPr>
              <w:t>возложена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обязанность по исполнению муниципальной функции по осущест</w:t>
            </w:r>
            <w:r w:rsidR="00586A7E">
              <w:rPr>
                <w:rStyle w:val="2"/>
                <w:rFonts w:eastAsia="Tahoma"/>
                <w:sz w:val="24"/>
                <w:szCs w:val="24"/>
              </w:rPr>
              <w:t>влению муниципального жилищного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контрол</w:t>
            </w:r>
            <w:r w:rsidR="00586A7E">
              <w:rPr>
                <w:rStyle w:val="2"/>
                <w:rFonts w:eastAsia="Tahoma"/>
                <w:sz w:val="24"/>
                <w:szCs w:val="24"/>
              </w:rPr>
              <w:t>я в отношении объектов жилищных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отношений, расположенных в границах </w:t>
            </w:r>
            <w:r w:rsidR="00D85DB5">
              <w:rPr>
                <w:rStyle w:val="2"/>
                <w:rFonts w:eastAsia="Tahoma"/>
                <w:sz w:val="24"/>
                <w:szCs w:val="24"/>
              </w:rPr>
              <w:t xml:space="preserve">городского поселения город Серафимович 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>Волгоградской области по вопросам организации и проведения проверок, Соблюдения требований законодательства при осущест</w:t>
            </w:r>
            <w:r w:rsidR="00586A7E">
              <w:rPr>
                <w:rStyle w:val="2"/>
                <w:rFonts w:eastAsia="Tahoma"/>
                <w:sz w:val="24"/>
                <w:szCs w:val="24"/>
              </w:rPr>
              <w:t>влении муниципального жилищного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контроля</w:t>
            </w:r>
          </w:p>
        </w:tc>
        <w:tc>
          <w:tcPr>
            <w:tcW w:w="2189" w:type="dxa"/>
          </w:tcPr>
          <w:p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Fonts w:ascii="Times New Roman" w:hAnsi="Times New Roman" w:cs="Times New Roman"/>
              </w:rPr>
              <w:t>Специалист ответственный за осущест</w:t>
            </w:r>
            <w:r w:rsidR="00586A7E">
              <w:rPr>
                <w:rFonts w:ascii="Times New Roman" w:hAnsi="Times New Roman" w:cs="Times New Roman"/>
              </w:rPr>
              <w:t>вление муниципального жилищного</w:t>
            </w:r>
            <w:r w:rsidRPr="00F7405C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9" w:type="dxa"/>
          </w:tcPr>
          <w:p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>Постоянно</w:t>
            </w:r>
          </w:p>
        </w:tc>
      </w:tr>
    </w:tbl>
    <w:p w:rsidR="00A23C03" w:rsidRPr="00A23C03" w:rsidRDefault="00A23C03" w:rsidP="00A23C03">
      <w:pPr>
        <w:pStyle w:val="a4"/>
        <w:rPr>
          <w:rFonts w:ascii="Times New Roman" w:hAnsi="Times New Roman" w:cs="Times New Roman"/>
        </w:rPr>
      </w:pPr>
    </w:p>
    <w:sectPr w:rsidR="00A23C03" w:rsidRPr="00A23C03" w:rsidSect="00A23C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BD0"/>
    <w:multiLevelType w:val="multilevel"/>
    <w:tmpl w:val="906023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094466"/>
    <w:multiLevelType w:val="hybridMultilevel"/>
    <w:tmpl w:val="8C4A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A5E8E"/>
    <w:multiLevelType w:val="multilevel"/>
    <w:tmpl w:val="FCF8577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4311D8"/>
    <w:multiLevelType w:val="multilevel"/>
    <w:tmpl w:val="BC3832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252"/>
    <w:rsid w:val="001031EC"/>
    <w:rsid w:val="0010374B"/>
    <w:rsid w:val="00370621"/>
    <w:rsid w:val="003E6049"/>
    <w:rsid w:val="004600B7"/>
    <w:rsid w:val="005864A1"/>
    <w:rsid w:val="00586A7E"/>
    <w:rsid w:val="006A1F22"/>
    <w:rsid w:val="00780A2E"/>
    <w:rsid w:val="007F6F48"/>
    <w:rsid w:val="00A23C03"/>
    <w:rsid w:val="00D36B4F"/>
    <w:rsid w:val="00D85DB5"/>
    <w:rsid w:val="00F46252"/>
    <w:rsid w:val="00F7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C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3C03"/>
    <w:pPr>
      <w:ind w:left="720"/>
      <w:contextualSpacing/>
    </w:pPr>
  </w:style>
  <w:style w:type="table" w:styleId="a5">
    <w:name w:val="Table Grid"/>
    <w:basedOn w:val="a1"/>
    <w:uiPriority w:val="39"/>
    <w:rsid w:val="00A2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таблице_"/>
    <w:basedOn w:val="a0"/>
    <w:link w:val="a7"/>
    <w:locked/>
    <w:rsid w:val="00A23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23C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A23C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</dc:creator>
  <cp:keywords/>
  <dc:description/>
  <cp:lastModifiedBy>Денис</cp:lastModifiedBy>
  <cp:revision>12</cp:revision>
  <cp:lastPrinted>2020-12-17T04:41:00Z</cp:lastPrinted>
  <dcterms:created xsi:type="dcterms:W3CDTF">2020-12-17T04:09:00Z</dcterms:created>
  <dcterms:modified xsi:type="dcterms:W3CDTF">2021-01-13T06:00:00Z</dcterms:modified>
</cp:coreProperties>
</file>